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2513DF" w:rsidRPr="002513DF">
        <w:rPr>
          <w:b/>
          <w:i/>
          <w:sz w:val="28"/>
          <w:szCs w:val="28"/>
        </w:rPr>
        <w:t>(наименование учреждения (организации)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6F6149" w:rsidRPr="00047B32">
        <w:rPr>
          <w:i/>
          <w:sz w:val="28"/>
          <w:szCs w:val="28"/>
        </w:rPr>
        <w:t xml:space="preserve">(наименование </w:t>
      </w:r>
      <w:r w:rsidR="002513DF" w:rsidRPr="00047B32">
        <w:rPr>
          <w:i/>
          <w:sz w:val="28"/>
          <w:szCs w:val="28"/>
        </w:rPr>
        <w:t>учреждения (организации</w:t>
      </w:r>
      <w:r w:rsidR="006F6149" w:rsidRPr="00047B32">
        <w:rPr>
          <w:i/>
          <w:sz w:val="28"/>
          <w:szCs w:val="28"/>
        </w:rPr>
        <w:t>)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6F6149" w:rsidRPr="00047B32">
        <w:rPr>
          <w:i/>
          <w:sz w:val="28"/>
          <w:szCs w:val="28"/>
        </w:rPr>
        <w:t>(наимен</w:t>
      </w:r>
      <w:r w:rsidR="002513DF" w:rsidRPr="00047B32">
        <w:rPr>
          <w:i/>
          <w:sz w:val="28"/>
          <w:szCs w:val="28"/>
        </w:rPr>
        <w:t>ование учреждения (организации</w:t>
      </w:r>
      <w:r w:rsidR="006F6149" w:rsidRPr="00047B32">
        <w:rPr>
          <w:i/>
          <w:sz w:val="28"/>
          <w:szCs w:val="28"/>
        </w:rPr>
        <w:t>)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6F6149" w:rsidRPr="00047B32">
        <w:rPr>
          <w:i/>
          <w:sz w:val="28"/>
          <w:szCs w:val="28"/>
        </w:rPr>
        <w:t>(наимено</w:t>
      </w:r>
      <w:r w:rsidR="002513DF" w:rsidRPr="00047B32">
        <w:rPr>
          <w:i/>
          <w:sz w:val="28"/>
          <w:szCs w:val="28"/>
        </w:rPr>
        <w:t>вание учреждения (организации)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</w:t>
      </w:r>
      <w:r w:rsidR="00894123" w:rsidRPr="00047B32">
        <w:rPr>
          <w:sz w:val="28"/>
          <w:szCs w:val="28"/>
        </w:rPr>
        <w:lastRenderedPageBreak/>
        <w:t>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B8744E" w:rsidRPr="00047B32">
        <w:rPr>
          <w:i/>
          <w:sz w:val="28"/>
          <w:szCs w:val="28"/>
        </w:rPr>
        <w:t>(</w:t>
      </w:r>
      <w:r w:rsidR="009624D0" w:rsidRPr="00047B32">
        <w:rPr>
          <w:i/>
          <w:sz w:val="28"/>
          <w:szCs w:val="28"/>
        </w:rPr>
        <w:t>наименование должности лиц</w:t>
      </w:r>
      <w:r w:rsidR="00B8744E" w:rsidRPr="00047B32">
        <w:rPr>
          <w:i/>
          <w:sz w:val="28"/>
          <w:szCs w:val="28"/>
        </w:rPr>
        <w:t>а</w:t>
      </w:r>
      <w:r w:rsidR="00CE3095" w:rsidRPr="00047B32">
        <w:rPr>
          <w:i/>
          <w:sz w:val="28"/>
          <w:szCs w:val="28"/>
        </w:rPr>
        <w:t xml:space="preserve">, </w:t>
      </w:r>
      <w:r w:rsidR="00BB6F67" w:rsidRPr="00047B32">
        <w:rPr>
          <w:i/>
          <w:sz w:val="28"/>
          <w:szCs w:val="28"/>
        </w:rPr>
        <w:t>ответственного</w:t>
      </w:r>
      <w:r w:rsidR="00CE3095" w:rsidRPr="00047B32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047B32">
        <w:rPr>
          <w:i/>
          <w:sz w:val="28"/>
          <w:szCs w:val="28"/>
        </w:rPr>
        <w:t xml:space="preserve"> в Учреждении)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</w:t>
      </w:r>
      <w:r w:rsidR="00864AC7" w:rsidRPr="00047B32">
        <w:rPr>
          <w:sz w:val="28"/>
          <w:szCs w:val="28"/>
        </w:rPr>
        <w:lastRenderedPageBreak/>
        <w:t xml:space="preserve">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bookmarkStart w:id="0" w:name="_GoBack"/>
      <w:bookmarkEnd w:id="0"/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88651C">
        <w:rPr>
          <w:i/>
          <w:sz w:val="28"/>
          <w:szCs w:val="28"/>
        </w:rPr>
        <w:t>наименование должности лица</w:t>
      </w:r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60" w:rsidRDefault="00B92060" w:rsidP="00072C5F">
      <w:r>
        <w:separator/>
      </w:r>
    </w:p>
  </w:endnote>
  <w:endnote w:type="continuationSeparator" w:id="0">
    <w:p w:rsidR="00B92060" w:rsidRDefault="00B9206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60" w:rsidRDefault="00B92060" w:rsidP="00072C5F">
      <w:r>
        <w:separator/>
      </w:r>
    </w:p>
  </w:footnote>
  <w:footnote w:type="continuationSeparator" w:id="0">
    <w:p w:rsidR="00B92060" w:rsidRDefault="00B9206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A85E37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FB20-0614-4520-A617-8559260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10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goncharova_iy</cp:lastModifiedBy>
  <cp:revision>333</cp:revision>
  <cp:lastPrinted>2024-02-09T09:45:00Z</cp:lastPrinted>
  <dcterms:created xsi:type="dcterms:W3CDTF">2022-04-01T13:22:00Z</dcterms:created>
  <dcterms:modified xsi:type="dcterms:W3CDTF">2024-02-09T10:37:00Z</dcterms:modified>
</cp:coreProperties>
</file>